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8E55C9" w:rsidRDefault="00445710" w:rsidP="00445710">
      <w:pPr>
        <w:jc w:val="right"/>
      </w:pPr>
      <w:r w:rsidRPr="008E55C9">
        <w:t xml:space="preserve">Приложение </w:t>
      </w:r>
      <w:r w:rsidR="00DF0881">
        <w:t xml:space="preserve">№ </w:t>
      </w:r>
      <w:r w:rsidRPr="008E55C9">
        <w:t>1 к Документации о закупке</w:t>
      </w:r>
    </w:p>
    <w:p w:rsidR="00297DCC" w:rsidRPr="00587B21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1109A7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7004E2">
        <w:rPr>
          <w:rFonts w:ascii="Tahoma" w:eastAsia="Times New Roman" w:hAnsi="Tahoma" w:cs="Tahoma"/>
        </w:rPr>
        <w:t xml:space="preserve">На </w:t>
      </w:r>
      <w:r>
        <w:rPr>
          <w:rFonts w:ascii="Tahoma" w:eastAsia="Times New Roman" w:hAnsi="Tahoma" w:cs="Tahoma"/>
        </w:rPr>
        <w:t>в</w:t>
      </w:r>
      <w:r w:rsidRPr="003931E0">
        <w:rPr>
          <w:rFonts w:ascii="Tahoma" w:eastAsia="Times New Roman" w:hAnsi="Tahoma" w:cs="Tahoma"/>
        </w:rPr>
        <w:t>ыполнение работ по установке,</w:t>
      </w:r>
      <w:r w:rsidR="004A5935">
        <w:rPr>
          <w:rFonts w:ascii="Tahoma" w:eastAsia="Times New Roman" w:hAnsi="Tahoma" w:cs="Tahoma"/>
        </w:rPr>
        <w:t xml:space="preserve"> замене, </w:t>
      </w:r>
      <w:r w:rsidRPr="003931E0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C0574D">
        <w:rPr>
          <w:rFonts w:ascii="Tahoma" w:eastAsia="Times New Roman" w:hAnsi="Tahoma" w:cs="Tahoma"/>
        </w:rPr>
        <w:t>Северного</w:t>
      </w:r>
      <w:r w:rsidR="001109A7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>
        <w:rPr>
          <w:rFonts w:ascii="Tahoma" w:eastAsia="Times New Roman" w:hAnsi="Tahoma" w:cs="Tahoma"/>
        </w:rPr>
        <w:t>АО «</w:t>
      </w:r>
      <w:r w:rsidR="001109A7">
        <w:rPr>
          <w:rFonts w:ascii="Tahoma" w:eastAsia="Times New Roman" w:hAnsi="Tahoma" w:cs="Tahoma"/>
        </w:rPr>
        <w:t>ЭнергосбыТ Плюс</w:t>
      </w:r>
      <w:r w:rsidR="000E21CB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7474A3" w:rsidRDefault="0059198A" w:rsidP="00C0574D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(далее ПУ ИСУ) и трансформаторов тока (далее ТТ) на территории</w:t>
            </w:r>
            <w:r w:rsidR="00C0574D">
              <w:rPr>
                <w:rFonts w:ascii="Tahoma" w:eastAsia="Times New Roman" w:hAnsi="Tahoma" w:cs="Tahoma"/>
                <w:sz w:val="20"/>
                <w:szCs w:val="20"/>
              </w:rPr>
              <w:t xml:space="preserve"> Северного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C0574D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C0574D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7474A3" w:rsidRDefault="0059198A" w:rsidP="00C0574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7474A3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0574D">
              <w:rPr>
                <w:rFonts w:ascii="Tahoma" w:hAnsi="Tahoma" w:cs="Tahoma"/>
                <w:sz w:val="20"/>
                <w:szCs w:val="20"/>
              </w:rPr>
              <w:t>Северного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C0574D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C0574D">
              <w:rPr>
                <w:rFonts w:ascii="Tahoma" w:hAnsi="Tahoma" w:cs="Tahoma"/>
                <w:sz w:val="20"/>
                <w:szCs w:val="20"/>
              </w:rPr>
              <w:t>»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(Приложение № 9 к Договору)</w:t>
            </w:r>
            <w:r w:rsidR="0080412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6571AB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6571AB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6571AB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A465F9">
              <w:rPr>
                <w:rFonts w:ascii="Tahoma" w:hAnsi="Tahoma" w:cs="Tahoma"/>
                <w:sz w:val="20"/>
                <w:szCs w:val="20"/>
              </w:rPr>
              <w:t>31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A465F9">
              <w:rPr>
                <w:rFonts w:ascii="Tahoma" w:hAnsi="Tahoma" w:cs="Tahoma"/>
                <w:sz w:val="20"/>
                <w:szCs w:val="20"/>
              </w:rPr>
              <w:t>дека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бря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A465F9">
              <w:rPr>
                <w:rFonts w:ascii="Tahoma" w:hAnsi="Tahoma" w:cs="Tahoma"/>
                <w:sz w:val="20"/>
                <w:szCs w:val="20"/>
              </w:rPr>
              <w:t>4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7474A3" w:rsidRDefault="00856BBF" w:rsidP="00856BBF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297DCC" w:rsidRPr="0080412C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кта обследования на предмет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lastRenderedPageBreak/>
              <w:t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Заказчик вправе заменить такой объект</w:t>
            </w:r>
            <w:r w:rsid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в графике производства работ.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 w:rsid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80412C">
              <w:t xml:space="preserve">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необходимых для выполнения работ,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для выполнения работ.</w:t>
            </w:r>
          </w:p>
          <w:p w:rsidR="00297DCC" w:rsidRPr="007474A3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7474A3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7474A3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7474A3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7474A3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7474A3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F25FA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произвести необходимые согласования и оформить наряд-допуск либо распоряжение в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соответствии с Правилами по охране труда при эксплуатации электроустановок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</w:t>
            </w:r>
            <w:r w:rsidR="00A73CDF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4A3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</w:t>
            </w:r>
            <w:r w:rsidR="00CF25FA">
              <w:rPr>
                <w:rFonts w:ascii="Tahoma" w:hAnsi="Tahoma" w:cs="Tahoma"/>
                <w:sz w:val="20"/>
                <w:szCs w:val="20"/>
              </w:rPr>
              <w:t>.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80412C" w:rsidRPr="0080412C">
              <w:rPr>
                <w:rFonts w:ascii="Tahoma" w:hAnsi="Tahoma" w:cs="Tahoma"/>
                <w:sz w:val="20"/>
                <w:szCs w:val="20"/>
              </w:rPr>
              <w:t>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необходимые для выполнения Работ. Передача интеллектуальных приборов учета электрической энергии и пломбировочной продукции осуществляется по адресу: г. Екатеринбург, ул. Электриков, д. 16.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окончании работ по настоящему Договору интеллектуальные приборы учета электрической энергии и пломбировочная продукция необходимые для выполнения работ по договору,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80412C" w:rsidRDefault="0080412C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Pr="0080412C">
              <w:rPr>
                <w:rFonts w:ascii="Tahoma" w:hAnsi="Tahoma" w:cs="Tahoma"/>
                <w:sz w:val="20"/>
                <w:szCs w:val="20"/>
              </w:rPr>
              <w:t>Перед монтажом интеллектуальных приборов учета электрической энергии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  <w:r w:rsidR="00E03C92"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 w:rsidR="00297DCC" w:rsidRPr="007474A3" w:rsidRDefault="0080412C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80412C" w:rsidRPr="0080412C" w:rsidRDefault="00E03C92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При наличии на объекте прибора учета (ПУ ИСУ и ТТ), пригодного к коммерческим расчетам, Подрядчик работы по замене прибора учета (ПУ ИСУ и ТТ) не выполняет, производит фотофиксацию существующего прибора учета (ПУ ИСУ и ТТ) (при фотофиксации должны быть сфотографированы следующие элементы и сведения: внешний вид прибора учёта (трансформаторов тока), год выпуска, пломбу государственной поверки с двух сторон,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80412C" w:rsidRPr="0080412C" w:rsidRDefault="0080412C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80412C" w:rsidRDefault="0080412C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При выполнении установки/замены измерительного комплекса (приборы учета электрической энергии, трансформаторы тока),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7474A3" w:rsidRDefault="00E03C92" w:rsidP="0080412C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течение 2 (двух) рабочих дней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после установки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электроэнергии…».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80412C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80412C" w:rsidRPr="0080412C" w:rsidRDefault="0080412C" w:rsidP="0080412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 ИСУ (одно фото), год выпуска ПУ ИСУ (одно фото), его текущие показания (одно фото – при однотарифном ПУ ИСУ, два фото – при двухтарифном ПУ ИСУ), пломба государственной поверки с двух сторон (одно фото); положение нового ПУ ИСУ(одно фото) и контроль его опломбирования (два фото), положение заменяемых ТТ (одно фото), положение новых ТТ (одно фото) и контроль их опломбирования (три фото), установленную SIM-карту (одно фото). Обязательно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об адресе объекта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установлен». Фото предоставляются Заказчику в составе приемо-сдаточной документации разделенные по каталогам в разрезе дат замен/установок, муниципальных образований, где выполнялись работы.</w:t>
            </w:r>
          </w:p>
          <w:p w:rsidR="0080412C" w:rsidRPr="0080412C" w:rsidRDefault="0080412C" w:rsidP="0080412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 xml:space="preserve">     Подрядчик организует хранение и утилизацию демонтированных ПУ ИСУ.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электроэнергии».</w:t>
            </w:r>
          </w:p>
          <w:p w:rsidR="0080412C" w:rsidRDefault="0080412C" w:rsidP="0080412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297DCC" w:rsidRPr="007474A3" w:rsidRDefault="00E03C92" w:rsidP="0080412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 ведомость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ективного места их расположения;</w:t>
            </w:r>
          </w:p>
          <w:p w:rsidR="002B5DB5" w:rsidRPr="007474A3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7474A3" w:rsidRDefault="00E03C92" w:rsidP="00E03C92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В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трансформаторов тока не менее 4 лет.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Фактическая вторичная нагрузка выбранных ТТ должна находиться в диапазоне, обеспечивающим соответствующий класс точности согласно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требований ГОСТ, или в расширенном диапазоне согласно пределам, установленным производителем.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7474A3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2E2BB2" w:rsidRPr="00F212C1" w:rsidRDefault="002E2BB2" w:rsidP="002E2BB2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A4383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3830" w:rsidRPr="00A43830">
              <w:rPr>
                <w:rFonts w:ascii="Tahoma" w:hAnsi="Tahoma" w:cs="Tahoma"/>
                <w:sz w:val="20"/>
                <w:szCs w:val="20"/>
              </w:rPr>
              <w:t>4 кв.2022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7474A3" w:rsidRDefault="002E2BB2" w:rsidP="002E2BB2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297DCC" w:rsidP="0059198A">
            <w:pPr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щности) в Российской Федерации»;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80412C" w:rsidRP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Постановление Правительства Российской Федерации от 4 мая 2012 г. № 442;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РД 34.11.333-97. «Типовая методика выполнения измерений количества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олнениями и изменениями».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(действующая редакция)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ЭП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(действующее издание);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7474A3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Обо всех несчастных случаях, авариях, инцидентах, возникших на объекте Заказчика Подрядчик обязан уведомлять Заказчика по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телефону, указанному в Договоре, в течении 30 мин. с момента поступления информации о случившимся.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7474A3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80412C" w:rsidRPr="0080412C" w:rsidRDefault="0080412C" w:rsidP="0080412C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продукции).</w:t>
            </w:r>
          </w:p>
          <w:p w:rsidR="0080412C" w:rsidRDefault="0080412C" w:rsidP="0080412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Подготовку и хранение материал, необходимых для выполнения работ, необходимо проводить вне рабочей зоны и доставлять к зоне работ транспортом Подрядчика готовыми к применению для выполнения работ.</w:t>
            </w:r>
          </w:p>
          <w:p w:rsidR="00297DCC" w:rsidRPr="007474A3" w:rsidRDefault="00297DCC" w:rsidP="0080412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7474A3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7474A3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7474A3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7474A3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474A3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80412C" w:rsidRDefault="0080412C" w:rsidP="0080412C">
            <w:pPr>
              <w:widowControl w:val="0"/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412C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о приемке выполненных работ об исполнении Договора, а Заказчик рассматривает представленный Акт о приемке выполненных работ об исполнении Договора и либо подписывает его, либо направляет Подрядчику мотивированные возражения.</w:t>
            </w:r>
          </w:p>
          <w:p w:rsidR="00297DCC" w:rsidRPr="007474A3" w:rsidRDefault="00297DCC" w:rsidP="0080412C">
            <w:pPr>
              <w:widowControl w:val="0"/>
              <w:spacing w:after="120" w:line="24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7474A3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КС-2)</w:t>
            </w:r>
            <w:r w:rsidRPr="007474A3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оформленную надлежащим образом монтажную ведомость 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вновь установленных </w:t>
            </w:r>
            <w:r w:rsidR="0080412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формуляры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электрической энергии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EA06FB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</w:t>
            </w:r>
            <w:r w:rsidR="00EA06FB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EA06FB" w:rsidRPr="007474A3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7474A3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80412C" w:rsidRDefault="0080412C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80412C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необходимые для выполнения работ по договору и все конструктивные элементы объекта устанавливается на 36 (тридцать шесть) месяцев с даты подписания Сторонами Акта о приемке выполненных работ без замечаний. При этом гарантийный срок на материалы или оборудование необходимое для выполнения работ по договору,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 (форма №КС-2) без замечаний.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97DCC" w:rsidRPr="007004E2" w:rsidTr="007474A3">
        <w:tc>
          <w:tcPr>
            <w:tcW w:w="518" w:type="dxa"/>
            <w:vAlign w:val="center"/>
            <w:hideMark/>
          </w:tcPr>
          <w:p w:rsidR="00297DCC" w:rsidRPr="007474A3" w:rsidRDefault="00FE73B6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0412C" w:rsidRPr="0080412C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7004E2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587B21" w:rsidRDefault="00587B21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A76669" w:rsidRDefault="00A76669" w:rsidP="00587B21">
      <w:pPr>
        <w:rPr>
          <w:rFonts w:eastAsia="Times New Roman" w:cs="Times New Roman"/>
        </w:rPr>
      </w:pPr>
    </w:p>
    <w:p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 xml:space="preserve">Приложение №1 </w:t>
      </w:r>
    </w:p>
    <w:p w:rsidR="00297DCC" w:rsidRPr="007004E2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7DCC" w:rsidRPr="00245225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45225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:rsidR="00297DCC" w:rsidRPr="00245225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78755A" w:rsidRPr="00871EDA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Вид работ</w:t>
            </w:r>
            <w:r w:rsid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ид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Кол-во, шт.</w:t>
            </w:r>
          </w:p>
        </w:tc>
      </w:tr>
      <w:tr w:rsidR="00233302" w:rsidRPr="00871EDA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56BBF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233302" w:rsidRPr="00856BBF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Общий срок выполнения работ:</w:t>
            </w:r>
          </w:p>
          <w:p w:rsidR="00233302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начало выполнения работ -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позднее 3 (трех) рабочих дней с момента заключения Сторонами Договора. </w:t>
            </w:r>
            <w:r w:rsidR="00A465F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Окончание работ – не позднее «31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» </w:t>
            </w:r>
            <w:r w:rsidR="00A465F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декаб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ря 202</w:t>
            </w:r>
            <w:r w:rsidR="00A465F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г.</w:t>
            </w:r>
          </w:p>
          <w:p w:rsidR="00233302" w:rsidRPr="00871EDA" w:rsidRDefault="00233302" w:rsidP="0023330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Северное отделение 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Свердловского филиала 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Энер</w:t>
            </w:r>
            <w:bookmarkStart w:id="4" w:name="_GoBack"/>
            <w:bookmarkEnd w:id="4"/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госбыТ Плюс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однофазного ПУ ИСУ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B4353">
              <w:rPr>
                <w:rFonts w:ascii="Tahoma" w:eastAsia="Times New Roman" w:hAnsi="Tahoma" w:cs="Tahoma"/>
                <w:sz w:val="16"/>
                <w:szCs w:val="16"/>
              </w:rPr>
              <w:t>10 551</w:t>
            </w:r>
          </w:p>
        </w:tc>
      </w:tr>
      <w:tr w:rsidR="0023330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63FD5">
              <w:rPr>
                <w:rFonts w:ascii="Tahoma" w:eastAsia="Times New Roman" w:hAnsi="Tahoma" w:cs="Tahoma"/>
                <w:sz w:val="16"/>
                <w:szCs w:val="16"/>
              </w:rPr>
              <w:t>451</w:t>
            </w:r>
          </w:p>
        </w:tc>
      </w:tr>
      <w:tr w:rsidR="0023330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Монтаж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63FD5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233302" w:rsidRPr="00871EDA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63FD5">
              <w:rPr>
                <w:rFonts w:ascii="Tahoma" w:eastAsia="Times New Roman" w:hAnsi="Tahoma" w:cs="Tahoma"/>
                <w:sz w:val="16"/>
                <w:szCs w:val="16"/>
              </w:rPr>
              <w:t>278</w:t>
            </w:r>
          </w:p>
        </w:tc>
      </w:tr>
      <w:tr w:rsidR="00233302" w:rsidRPr="00871EDA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ТТ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3302" w:rsidRPr="00871EDA" w:rsidRDefault="00233302" w:rsidP="002333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63FD5">
              <w:rPr>
                <w:rFonts w:ascii="Tahoma" w:eastAsia="Times New Roman" w:hAnsi="Tahoma" w:cs="Tahoma"/>
                <w:sz w:val="16"/>
                <w:szCs w:val="16"/>
              </w:rPr>
              <w:t>278</w:t>
            </w:r>
          </w:p>
        </w:tc>
      </w:tr>
      <w:tr w:rsidR="00856BBF" w:rsidRPr="00871EDA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>
        <w:rPr>
          <w:rFonts w:eastAsia="Times New Roman"/>
          <w:color w:val="FF0000"/>
          <w:sz w:val="32"/>
          <w:szCs w:val="32"/>
        </w:rPr>
        <w:t xml:space="preserve">     </w:t>
      </w: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 xml:space="preserve">       ** - трансформатор тока</w:t>
      </w:r>
    </w:p>
    <w:p w:rsidR="00F80C4E" w:rsidRPr="00F80C4E" w:rsidRDefault="00F80C4E" w:rsidP="00F80C4E">
      <w:pPr>
        <w:pStyle w:val="a6"/>
        <w:rPr>
          <w:rFonts w:eastAsia="Times New Roman"/>
          <w:color w:val="FF0000"/>
          <w:sz w:val="32"/>
          <w:szCs w:val="32"/>
        </w:rPr>
      </w:pPr>
    </w:p>
    <w:tbl>
      <w:tblPr>
        <w:tblW w:w="101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8"/>
        <w:gridCol w:w="5078"/>
      </w:tblGrid>
      <w:tr w:rsidR="00B422A2" w:rsidRPr="00230FB4" w:rsidTr="00B35D8F">
        <w:trPr>
          <w:trHeight w:val="218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230FB4" w:rsidRDefault="00B422A2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230FB4" w:rsidRDefault="00B422A2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B422A2" w:rsidRPr="0092695D" w:rsidTr="00B35D8F">
        <w:trPr>
          <w:trHeight w:val="52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1D595E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92695D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B422A2" w:rsidRPr="0092695D" w:rsidTr="00B35D8F">
        <w:trPr>
          <w:cantSplit/>
          <w:trHeight w:val="1025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230FB4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422A2" w:rsidRPr="00C163E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B422A2" w:rsidRPr="0092695D" w:rsidRDefault="00B422A2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230FB4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422A2" w:rsidRPr="00C163E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B422A2" w:rsidRPr="0092695D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Pr="00E04CC8" w:rsidRDefault="00297DCC" w:rsidP="00B422A2">
      <w:pPr>
        <w:rPr>
          <w:rFonts w:eastAsia="Times New Roman" w:cs="Times New Roman"/>
          <w:color w:val="FF0000"/>
          <w:sz w:val="32"/>
          <w:szCs w:val="32"/>
        </w:rPr>
      </w:pPr>
    </w:p>
    <w:p w:rsidR="00297DCC" w:rsidRDefault="00297DCC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A76669" w:rsidRDefault="00A76669" w:rsidP="00297DCC">
      <w:pPr>
        <w:rPr>
          <w:rFonts w:eastAsia="Times New Roman" w:cs="Times New Roman"/>
        </w:rPr>
      </w:pPr>
    </w:p>
    <w:p w:rsidR="00A76669" w:rsidRDefault="00A76669" w:rsidP="00297DCC">
      <w:pPr>
        <w:rPr>
          <w:rFonts w:eastAsia="Times New Roman" w:cs="Times New Roman"/>
        </w:rPr>
      </w:pPr>
    </w:p>
    <w:p w:rsidR="00A76669" w:rsidRDefault="00A76669" w:rsidP="00297DCC">
      <w:pPr>
        <w:rPr>
          <w:rFonts w:eastAsia="Times New Roman" w:cs="Times New Roman"/>
        </w:rPr>
      </w:pPr>
    </w:p>
    <w:p w:rsidR="00A76669" w:rsidRDefault="00A76669" w:rsidP="00297DCC">
      <w:pPr>
        <w:rPr>
          <w:rFonts w:eastAsia="Times New Roman" w:cs="Times New Roman"/>
        </w:rPr>
      </w:pPr>
    </w:p>
    <w:p w:rsidR="00A76669" w:rsidRDefault="00A76669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297DCC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933DD8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7049BB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ED1684" w:rsidRPr="00ED1684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  <w:r w:rsidR="008C5888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ED1684" w:rsidRPr="00ED1684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10,551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73C1">
              <w:rPr>
                <w:rFonts w:ascii="Tahoma" w:hAnsi="Tahoma" w:cs="Tahoma"/>
                <w:color w:val="000000"/>
                <w:sz w:val="16"/>
                <w:szCs w:val="16"/>
              </w:rPr>
              <w:t>10 551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4,51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451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0,02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02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2,78</w:t>
            </w:r>
          </w:p>
        </w:tc>
      </w:tr>
      <w:tr w:rsidR="0023330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3302" w:rsidRPr="00ED1684" w:rsidRDefault="00233302" w:rsidP="0023330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302" w:rsidRPr="00ED1684" w:rsidRDefault="00233302" w:rsidP="0023330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278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ED1684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</w:t>
            </w:r>
            <w:r w:rsid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/монтаж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233302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33302">
              <w:rPr>
                <w:rFonts w:ascii="Tahoma" w:hAnsi="Tahoma" w:cs="Tahoma"/>
                <w:color w:val="000000"/>
                <w:sz w:val="16"/>
                <w:szCs w:val="16"/>
              </w:rPr>
              <w:t>278</w:t>
            </w:r>
          </w:p>
        </w:tc>
      </w:tr>
    </w:tbl>
    <w:p w:rsidR="00ED1684" w:rsidRDefault="00ED1684" w:rsidP="00933DD8">
      <w:pPr>
        <w:jc w:val="center"/>
        <w:rPr>
          <w:rFonts w:eastAsia="Times New Roman" w:cs="Times New Roman"/>
          <w:b/>
          <w:bCs/>
        </w:rPr>
      </w:pPr>
    </w:p>
    <w:tbl>
      <w:tblPr>
        <w:tblW w:w="99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4984"/>
      </w:tblGrid>
      <w:tr w:rsidR="000534FE" w:rsidRPr="00230FB4" w:rsidTr="007049BB">
        <w:trPr>
          <w:trHeight w:val="21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0534FE" w:rsidRPr="0092695D" w:rsidTr="007049BB">
        <w:trPr>
          <w:trHeight w:val="52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1D595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92695D" w:rsidTr="007049BB">
        <w:trPr>
          <w:cantSplit/>
          <w:trHeight w:val="1031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92695D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933DD8" w:rsidRDefault="00933DD8" w:rsidP="00297DCC">
      <w:pPr>
        <w:rPr>
          <w:rFonts w:eastAsia="Times New Roman" w:cs="Times New Roman"/>
        </w:rPr>
      </w:pPr>
    </w:p>
    <w:p w:rsidR="00297DCC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297DCC" w:rsidRPr="00E20746" w:rsidRDefault="000534FE" w:rsidP="00297DCC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E2074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   </w:t>
      </w:r>
      <w:r w:rsidR="0080412C" w:rsidRPr="0080412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CE16CA" w:rsidRPr="00871EDA" w:rsidTr="004C7382">
        <w:trPr>
          <w:jc w:val="center"/>
        </w:trPr>
        <w:tc>
          <w:tcPr>
            <w:tcW w:w="755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233302" w:rsidRPr="00871EDA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233302" w:rsidRPr="00871EDA" w:rsidRDefault="0080412C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="0023330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233302" w:rsidRPr="00763FD5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FD5">
              <w:rPr>
                <w:rFonts w:ascii="Tahoma" w:hAnsi="Tahoma" w:cs="Tahoma"/>
                <w:sz w:val="16"/>
                <w:szCs w:val="16"/>
              </w:rPr>
              <w:t>10 551</w:t>
            </w:r>
          </w:p>
        </w:tc>
        <w:tc>
          <w:tcPr>
            <w:tcW w:w="1579" w:type="dxa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233302" w:rsidRPr="00871EDA" w:rsidRDefault="0080412C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23330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FD5">
              <w:rPr>
                <w:rFonts w:ascii="Tahoma" w:hAnsi="Tahoma" w:cs="Tahoma"/>
                <w:sz w:val="16"/>
                <w:szCs w:val="16"/>
              </w:rPr>
              <w:t>453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233302" w:rsidRPr="00871EDA" w:rsidRDefault="0080412C" w:rsidP="008041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233302" w:rsidRPr="00871EDA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FD5">
              <w:rPr>
                <w:rFonts w:ascii="Tahoma" w:hAnsi="Tahoma" w:cs="Tahoma"/>
                <w:sz w:val="16"/>
                <w:szCs w:val="16"/>
              </w:rPr>
              <w:t>278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63FD5">
              <w:rPr>
                <w:rFonts w:ascii="Tahoma" w:hAnsi="Tahoma" w:cs="Tahoma"/>
                <w:sz w:val="16"/>
                <w:szCs w:val="16"/>
              </w:rPr>
              <w:t>278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FD5">
              <w:rPr>
                <w:rFonts w:ascii="Tahoma" w:hAnsi="Tahoma" w:cs="Tahoma"/>
                <w:sz w:val="16"/>
                <w:szCs w:val="16"/>
              </w:rPr>
              <w:t>23 398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3330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233302" w:rsidRPr="00871EDA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233302" w:rsidRPr="00763FD5" w:rsidRDefault="00233302" w:rsidP="002333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FD5">
              <w:rPr>
                <w:rFonts w:ascii="Tahoma" w:hAnsi="Tahoma" w:cs="Tahoma"/>
                <w:sz w:val="16"/>
                <w:szCs w:val="16"/>
              </w:rPr>
              <w:t>11 282</w:t>
            </w:r>
          </w:p>
        </w:tc>
        <w:tc>
          <w:tcPr>
            <w:tcW w:w="1579" w:type="dxa"/>
            <w:shd w:val="clear" w:color="auto" w:fill="FFFFFF" w:themeFill="background1"/>
          </w:tcPr>
          <w:p w:rsidR="00233302" w:rsidRDefault="00233302" w:rsidP="0023330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0534FE" w:rsidRPr="007004E2" w:rsidRDefault="000534FE" w:rsidP="00297DCC">
      <w:pPr>
        <w:jc w:val="center"/>
        <w:rPr>
          <w:rFonts w:eastAsia="Times New Roman" w:cs="Times New Roman"/>
        </w:rPr>
      </w:pP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890"/>
      </w:tblGrid>
      <w:tr w:rsidR="000534FE" w:rsidRPr="00230FB4" w:rsidTr="007049BB">
        <w:trPr>
          <w:trHeight w:val="20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0534FE" w:rsidRPr="0092695D" w:rsidTr="007049BB">
        <w:trPr>
          <w:trHeight w:val="49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1D595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92695D" w:rsidTr="007049BB">
        <w:trPr>
          <w:cantSplit/>
          <w:trHeight w:val="96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92695D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Default="00297DCC" w:rsidP="00297DCC">
      <w:pPr>
        <w:jc w:val="center"/>
        <w:rPr>
          <w:rFonts w:eastAsia="Times New Roman" w:cs="Times New Roman"/>
        </w:rPr>
      </w:pPr>
    </w:p>
    <w:p w:rsidR="00A76669" w:rsidRDefault="00A76669" w:rsidP="00297DCC">
      <w:pPr>
        <w:jc w:val="center"/>
        <w:rPr>
          <w:rFonts w:eastAsia="Times New Roman" w:cs="Times New Roman"/>
        </w:rPr>
      </w:pPr>
    </w:p>
    <w:p w:rsidR="00A76669" w:rsidRDefault="00A76669" w:rsidP="00297DCC">
      <w:pPr>
        <w:jc w:val="center"/>
        <w:rPr>
          <w:rFonts w:eastAsia="Times New Roman" w:cs="Times New Roman"/>
        </w:rPr>
      </w:pPr>
    </w:p>
    <w:p w:rsidR="00A76669" w:rsidRDefault="00A76669" w:rsidP="00297DCC">
      <w:pPr>
        <w:jc w:val="center"/>
        <w:rPr>
          <w:rFonts w:eastAsia="Times New Roman" w:cs="Times New Roman"/>
        </w:rPr>
      </w:pPr>
    </w:p>
    <w:p w:rsidR="00A76669" w:rsidRDefault="00A76669" w:rsidP="00297DCC">
      <w:pPr>
        <w:jc w:val="center"/>
        <w:rPr>
          <w:rFonts w:eastAsia="Times New Roman" w:cs="Times New Roman"/>
        </w:rPr>
      </w:pPr>
    </w:p>
    <w:p w:rsidR="00A43830" w:rsidRDefault="00A43830" w:rsidP="00297DCC">
      <w:pPr>
        <w:jc w:val="center"/>
        <w:rPr>
          <w:rFonts w:eastAsia="Times New Roman" w:cs="Times New Roman"/>
        </w:rPr>
      </w:pPr>
    </w:p>
    <w:p w:rsidR="00A43830" w:rsidRDefault="00A43830" w:rsidP="00297DCC">
      <w:pPr>
        <w:jc w:val="center"/>
        <w:rPr>
          <w:rFonts w:eastAsia="Times New Roman" w:cs="Times New Roman"/>
        </w:rPr>
      </w:pPr>
    </w:p>
    <w:p w:rsidR="00A76669" w:rsidRPr="007004E2" w:rsidRDefault="00A76669" w:rsidP="00297DCC">
      <w:pPr>
        <w:jc w:val="center"/>
        <w:rPr>
          <w:rFonts w:eastAsia="Times New Roman" w:cs="Times New Roman"/>
        </w:rPr>
      </w:pPr>
    </w:p>
    <w:p w:rsidR="00297DCC" w:rsidRPr="00587B21" w:rsidRDefault="0080412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7004E2" w:rsidRDefault="000534FE" w:rsidP="000534FE">
      <w:pPr>
        <w:jc w:val="right"/>
        <w:rPr>
          <w:rFonts w:eastAsia="Times New Roman" w:cs="Times New Roman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7049BB" w:rsidRDefault="00297DCC" w:rsidP="00297DCC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7049B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230FB4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Default="00B422A2" w:rsidP="00297DCC">
      <w:pPr>
        <w:rPr>
          <w:rFonts w:eastAsia="Times New Roman" w:cs="Times New Roman"/>
          <w:noProof/>
          <w:lang w:eastAsia="ru-RU"/>
        </w:rPr>
      </w:pPr>
      <w:r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230FB4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34FE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30FB4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0534FE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0534FE" w:rsidRPr="00230FB4" w:rsidTr="007049BB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0534FE" w:rsidRPr="0092695D" w:rsidTr="007049BB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1D595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92695D" w:rsidTr="007049BB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0534FE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92695D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0534FE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34FE" w:rsidRDefault="000534FE" w:rsidP="000534FE">
      <w:pPr>
        <w:rPr>
          <w:rFonts w:eastAsia="Times New Roman" w:cs="Times New Roman"/>
          <w:noProof/>
          <w:lang w:eastAsia="ru-RU"/>
        </w:rPr>
      </w:pPr>
    </w:p>
    <w:sectPr w:rsidR="000534F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7EE" w:rsidRDefault="005237EE" w:rsidP="00974DAE">
      <w:pPr>
        <w:spacing w:after="0" w:line="240" w:lineRule="auto"/>
      </w:pPr>
      <w:r>
        <w:separator/>
      </w:r>
    </w:p>
  </w:endnote>
  <w:endnote w:type="continuationSeparator" w:id="0">
    <w:p w:rsidR="005237EE" w:rsidRDefault="005237EE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7EE" w:rsidRDefault="005237EE" w:rsidP="00974DAE">
      <w:pPr>
        <w:spacing w:after="0" w:line="240" w:lineRule="auto"/>
      </w:pPr>
      <w:r>
        <w:separator/>
      </w:r>
    </w:p>
  </w:footnote>
  <w:footnote w:type="continuationSeparator" w:id="0">
    <w:p w:rsidR="005237EE" w:rsidRDefault="005237EE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63F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302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BB2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37EE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59BE"/>
    <w:rsid w:val="005E62AF"/>
    <w:rsid w:val="005F151D"/>
    <w:rsid w:val="005F1550"/>
    <w:rsid w:val="005F1DCC"/>
    <w:rsid w:val="005F3434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80C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412C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3830"/>
    <w:rsid w:val="00A44472"/>
    <w:rsid w:val="00A45EAB"/>
    <w:rsid w:val="00A465F9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669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74D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2C99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4560"/>
    <w:rsid w:val="00F177A6"/>
    <w:rsid w:val="00F206FD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E73B6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D398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CD924-C679-4A82-9A60-A5FF4480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5822</Words>
  <Characters>33191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5</cp:revision>
  <cp:lastPrinted>2021-08-10T07:13:00Z</cp:lastPrinted>
  <dcterms:created xsi:type="dcterms:W3CDTF">2023-03-07T09:04:00Z</dcterms:created>
  <dcterms:modified xsi:type="dcterms:W3CDTF">2023-03-10T10:58:00Z</dcterms:modified>
</cp:coreProperties>
</file>